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7360FB" w14:textId="77777777" w:rsidR="000C7D0F" w:rsidRPr="00FA44CB" w:rsidRDefault="000C7D0F" w:rsidP="000C7D0F">
      <w:pPr>
        <w:pStyle w:val="NoSpacing"/>
        <w:rPr>
          <w:rFonts w:ascii="Times New Roman" w:hAnsi="Times New Roman" w:cs="Times New Roman"/>
          <w:b/>
          <w:bCs/>
        </w:rPr>
      </w:pPr>
    </w:p>
    <w:p w14:paraId="135C3FCC" w14:textId="77777777" w:rsidR="000C7D0F" w:rsidRPr="00FA44CB" w:rsidRDefault="000C7D0F" w:rsidP="000C7D0F">
      <w:pPr>
        <w:pStyle w:val="NoSpacing"/>
        <w:jc w:val="right"/>
        <w:rPr>
          <w:rFonts w:ascii="Times New Roman" w:hAnsi="Times New Roman" w:cs="Times New Roman"/>
          <w:b/>
          <w:bCs/>
        </w:rPr>
      </w:pPr>
      <w:r w:rsidRPr="00FA44CB">
        <w:rPr>
          <w:rFonts w:ascii="Times New Roman" w:hAnsi="Times New Roman" w:cs="Times New Roman"/>
          <w:b/>
          <w:bCs/>
        </w:rPr>
        <w:t>Annexure</w:t>
      </w:r>
      <w:r w:rsidRPr="00FA44CB">
        <w:rPr>
          <w:rFonts w:ascii="Times New Roman" w:hAnsi="Times New Roman" w:cs="Times New Roman"/>
          <w:b/>
          <w:bCs/>
          <w:spacing w:val="-2"/>
        </w:rPr>
        <w:t xml:space="preserve"> </w:t>
      </w:r>
      <w:r w:rsidRPr="00FA44CB">
        <w:rPr>
          <w:rFonts w:ascii="Times New Roman" w:hAnsi="Times New Roman" w:cs="Times New Roman"/>
          <w:b/>
          <w:bCs/>
          <w:spacing w:val="-5"/>
        </w:rPr>
        <w:t>IV</w:t>
      </w:r>
    </w:p>
    <w:p w14:paraId="55083AF1" w14:textId="77777777" w:rsidR="000C7D0F" w:rsidRPr="00FA44CB" w:rsidRDefault="000C7D0F" w:rsidP="000C7D0F">
      <w:pPr>
        <w:pStyle w:val="NoSpacing"/>
        <w:jc w:val="center"/>
        <w:rPr>
          <w:rFonts w:ascii="Times New Roman" w:hAnsi="Times New Roman" w:cs="Times New Roman"/>
          <w:b/>
          <w:bCs/>
        </w:rPr>
      </w:pPr>
    </w:p>
    <w:p w14:paraId="37CA147B" w14:textId="77777777" w:rsidR="000C7D0F" w:rsidRPr="00FA44CB" w:rsidRDefault="000C7D0F" w:rsidP="000C7D0F">
      <w:pPr>
        <w:pStyle w:val="NoSpacing"/>
        <w:jc w:val="center"/>
        <w:rPr>
          <w:rFonts w:ascii="Times New Roman" w:hAnsi="Times New Roman" w:cs="Times New Roman"/>
          <w:b/>
          <w:bCs/>
        </w:rPr>
      </w:pPr>
      <w:r w:rsidRPr="00FA44CB">
        <w:rPr>
          <w:rFonts w:ascii="Times New Roman" w:hAnsi="Times New Roman" w:cs="Times New Roman"/>
          <w:b/>
          <w:bCs/>
        </w:rPr>
        <w:t>List</w:t>
      </w:r>
      <w:r w:rsidRPr="00FA44CB">
        <w:rPr>
          <w:rFonts w:ascii="Times New Roman" w:hAnsi="Times New Roman" w:cs="Times New Roman"/>
          <w:b/>
          <w:bCs/>
          <w:spacing w:val="-2"/>
        </w:rPr>
        <w:t xml:space="preserve"> </w:t>
      </w:r>
      <w:r w:rsidRPr="00FA44CB">
        <w:rPr>
          <w:rFonts w:ascii="Times New Roman" w:hAnsi="Times New Roman" w:cs="Times New Roman"/>
          <w:b/>
          <w:bCs/>
        </w:rPr>
        <w:t>of</w:t>
      </w:r>
      <w:r w:rsidRPr="00FA44CB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FA44CB">
        <w:rPr>
          <w:rFonts w:ascii="Times New Roman" w:hAnsi="Times New Roman" w:cs="Times New Roman"/>
          <w:b/>
          <w:bCs/>
        </w:rPr>
        <w:t>indicative</w:t>
      </w:r>
      <w:r w:rsidRPr="00FA44CB">
        <w:rPr>
          <w:rFonts w:ascii="Times New Roman" w:hAnsi="Times New Roman" w:cs="Times New Roman"/>
          <w:b/>
          <w:bCs/>
          <w:spacing w:val="-2"/>
        </w:rPr>
        <w:t xml:space="preserve"> </w:t>
      </w:r>
      <w:r w:rsidRPr="00FA44CB">
        <w:rPr>
          <w:rFonts w:ascii="Times New Roman" w:hAnsi="Times New Roman" w:cs="Times New Roman"/>
          <w:b/>
          <w:bCs/>
        </w:rPr>
        <w:t>SEBI/ARCL</w:t>
      </w:r>
      <w:r w:rsidRPr="00FA44CB">
        <w:rPr>
          <w:rFonts w:ascii="Times New Roman" w:hAnsi="Times New Roman" w:cs="Times New Roman"/>
          <w:b/>
          <w:bCs/>
          <w:spacing w:val="-1"/>
        </w:rPr>
        <w:t xml:space="preserve"> </w:t>
      </w:r>
      <w:r w:rsidRPr="00FA44CB">
        <w:rPr>
          <w:rFonts w:ascii="Times New Roman" w:hAnsi="Times New Roman" w:cs="Times New Roman"/>
          <w:b/>
          <w:bCs/>
          <w:spacing w:val="-2"/>
        </w:rPr>
        <w:t>Circulars</w:t>
      </w:r>
    </w:p>
    <w:p w14:paraId="5E807FDC" w14:textId="77777777" w:rsidR="000C7D0F" w:rsidRPr="00FA44CB" w:rsidRDefault="000C7D0F" w:rsidP="000C7D0F">
      <w:pPr>
        <w:pStyle w:val="NoSpacing"/>
        <w:rPr>
          <w:rFonts w:ascii="Times New Roman" w:hAnsi="Times New Roman" w:cs="Times New Roman"/>
          <w:b/>
        </w:rPr>
      </w:pPr>
    </w:p>
    <w:p w14:paraId="02B5F836" w14:textId="77777777" w:rsidR="000C7D0F" w:rsidRPr="00FA44CB" w:rsidRDefault="000C7D0F" w:rsidP="000C7D0F">
      <w:pPr>
        <w:tabs>
          <w:tab w:val="left" w:pos="2805"/>
        </w:tabs>
        <w:jc w:val="both"/>
        <w:rPr>
          <w:b/>
          <w:bCs/>
        </w:rPr>
      </w:pPr>
    </w:p>
    <w:p w14:paraId="19FFE891" w14:textId="77777777" w:rsidR="000C7D0F" w:rsidRPr="00FA44CB" w:rsidRDefault="000C7D0F" w:rsidP="000C7D0F">
      <w:pPr>
        <w:tabs>
          <w:tab w:val="left" w:pos="2805"/>
        </w:tabs>
        <w:jc w:val="both"/>
        <w:rPr>
          <w:b/>
          <w:bCs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6"/>
        <w:gridCol w:w="4110"/>
        <w:gridCol w:w="1955"/>
      </w:tblGrid>
      <w:tr w:rsidR="000C7D0F" w:rsidRPr="00FA44CB" w14:paraId="1FE9C3AA" w14:textId="77777777" w:rsidTr="006453B6">
        <w:trPr>
          <w:trHeight w:val="275"/>
          <w:tblHeader/>
        </w:trPr>
        <w:tc>
          <w:tcPr>
            <w:tcW w:w="3146" w:type="dxa"/>
            <w:shd w:val="clear" w:color="auto" w:fill="E8E8E8" w:themeFill="background2"/>
          </w:tcPr>
          <w:p w14:paraId="0989B7F5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FA44CB">
              <w:rPr>
                <w:rFonts w:ascii="Times New Roman" w:hAnsi="Times New Roman" w:cs="Times New Roman"/>
                <w:b/>
                <w:spacing w:val="-2"/>
              </w:rPr>
              <w:t>Particulars</w:t>
            </w:r>
          </w:p>
        </w:tc>
        <w:tc>
          <w:tcPr>
            <w:tcW w:w="4110" w:type="dxa"/>
            <w:shd w:val="clear" w:color="auto" w:fill="E8E8E8" w:themeFill="background2"/>
          </w:tcPr>
          <w:p w14:paraId="0362DBBE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FA44CB">
              <w:rPr>
                <w:rFonts w:ascii="Times New Roman" w:hAnsi="Times New Roman" w:cs="Times New Roman"/>
                <w:b/>
                <w:spacing w:val="-2"/>
              </w:rPr>
              <w:t>References</w:t>
            </w:r>
          </w:p>
        </w:tc>
        <w:tc>
          <w:tcPr>
            <w:tcW w:w="1955" w:type="dxa"/>
            <w:shd w:val="clear" w:color="auto" w:fill="E8E8E8" w:themeFill="background2"/>
          </w:tcPr>
          <w:p w14:paraId="0294C22C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  <w:b/>
                <w:spacing w:val="-4"/>
              </w:rPr>
            </w:pPr>
            <w:r w:rsidRPr="00FA44CB">
              <w:rPr>
                <w:rFonts w:ascii="Times New Roman" w:hAnsi="Times New Roman" w:cs="Times New Roman"/>
                <w:b/>
                <w:spacing w:val="-4"/>
              </w:rPr>
              <w:t>Date</w:t>
            </w:r>
          </w:p>
        </w:tc>
      </w:tr>
      <w:tr w:rsidR="000C7D0F" w:rsidRPr="00FA44CB" w14:paraId="12450347" w14:textId="77777777" w:rsidTr="006453B6">
        <w:trPr>
          <w:trHeight w:val="1298"/>
        </w:trPr>
        <w:tc>
          <w:tcPr>
            <w:tcW w:w="3146" w:type="dxa"/>
          </w:tcPr>
          <w:p w14:paraId="660414A5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</w:rPr>
              <w:t xml:space="preserve">Maintenance of books of accounts and other </w:t>
            </w:r>
            <w:r w:rsidRPr="00FA44CB">
              <w:rPr>
                <w:rFonts w:ascii="Times New Roman" w:hAnsi="Times New Roman" w:cs="Times New Roman"/>
                <w:spacing w:val="-2"/>
              </w:rPr>
              <w:t>documents</w:t>
            </w:r>
            <w:r w:rsidRPr="00FA44CB">
              <w:rPr>
                <w:rFonts w:ascii="Times New Roman" w:hAnsi="Times New Roman" w:cs="Times New Roman"/>
              </w:rPr>
              <w:tab/>
            </w:r>
            <w:r w:rsidRPr="00FA44CB">
              <w:rPr>
                <w:rFonts w:ascii="Times New Roman" w:hAnsi="Times New Roman" w:cs="Times New Roman"/>
                <w:spacing w:val="-10"/>
              </w:rPr>
              <w:t>/</w:t>
            </w:r>
          </w:p>
          <w:p w14:paraId="4598DE26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</w:rPr>
              <w:t xml:space="preserve">/advertisement issued by </w:t>
            </w:r>
            <w:r w:rsidRPr="00FA44CB">
              <w:rPr>
                <w:rFonts w:ascii="Times New Roman" w:hAnsi="Times New Roman" w:cs="Times New Roman"/>
                <w:spacing w:val="-2"/>
              </w:rPr>
              <w:t>member</w:t>
            </w:r>
          </w:p>
        </w:tc>
        <w:tc>
          <w:tcPr>
            <w:tcW w:w="4110" w:type="dxa"/>
          </w:tcPr>
          <w:p w14:paraId="148F3A57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</w:rPr>
              <w:t>Regulation</w:t>
            </w:r>
            <w:r w:rsidRPr="00FA44CB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FA44CB">
              <w:rPr>
                <w:rFonts w:ascii="Times New Roman" w:hAnsi="Times New Roman" w:cs="Times New Roman"/>
              </w:rPr>
              <w:t>17</w:t>
            </w:r>
            <w:r w:rsidRPr="00FA44CB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FA44CB">
              <w:rPr>
                <w:rFonts w:ascii="Times New Roman" w:hAnsi="Times New Roman" w:cs="Times New Roman"/>
              </w:rPr>
              <w:t>of</w:t>
            </w:r>
            <w:r w:rsidRPr="00FA44CB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FA44CB">
              <w:rPr>
                <w:rFonts w:ascii="Times New Roman" w:hAnsi="Times New Roman" w:cs="Times New Roman"/>
              </w:rPr>
              <w:t>SEBI</w:t>
            </w:r>
            <w:r w:rsidRPr="00FA44CB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FA44CB">
              <w:rPr>
                <w:rFonts w:ascii="Times New Roman" w:hAnsi="Times New Roman" w:cs="Times New Roman"/>
              </w:rPr>
              <w:t>(Stock</w:t>
            </w:r>
            <w:r w:rsidRPr="00FA44CB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FA44CB">
              <w:rPr>
                <w:rFonts w:ascii="Times New Roman" w:hAnsi="Times New Roman" w:cs="Times New Roman"/>
              </w:rPr>
              <w:t>Broker</w:t>
            </w:r>
            <w:r w:rsidRPr="00FA44CB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FA44CB">
              <w:rPr>
                <w:rFonts w:ascii="Times New Roman" w:hAnsi="Times New Roman" w:cs="Times New Roman"/>
              </w:rPr>
              <w:t>and Sub-brokers) Regulation 1992, Rule 15 of the Securities Contracts (Regulation) Rules, 1957 and</w:t>
            </w:r>
          </w:p>
          <w:p w14:paraId="55BDC99C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  <w:spacing w:val="-5"/>
              </w:rPr>
            </w:pPr>
            <w:r w:rsidRPr="00FA44CB">
              <w:rPr>
                <w:rFonts w:ascii="Times New Roman" w:hAnsi="Times New Roman" w:cs="Times New Roman"/>
              </w:rPr>
              <w:t>Regulation</w:t>
            </w:r>
            <w:r w:rsidRPr="00FA44CB">
              <w:rPr>
                <w:rFonts w:ascii="Times New Roman" w:hAnsi="Times New Roman" w:cs="Times New Roman"/>
                <w:spacing w:val="-5"/>
              </w:rPr>
              <w:t xml:space="preserve"> 13.1 of ARCL </w:t>
            </w:r>
          </w:p>
        </w:tc>
        <w:tc>
          <w:tcPr>
            <w:tcW w:w="1955" w:type="dxa"/>
          </w:tcPr>
          <w:p w14:paraId="6CEC53BD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  <w:spacing w:val="-5"/>
              </w:rPr>
            </w:pPr>
            <w:r w:rsidRPr="00FA44CB">
              <w:rPr>
                <w:rFonts w:ascii="Times New Roman" w:hAnsi="Times New Roman" w:cs="Times New Roman"/>
                <w:spacing w:val="-5"/>
              </w:rPr>
              <w:t>NA</w:t>
            </w:r>
          </w:p>
          <w:p w14:paraId="41557358" w14:textId="77777777" w:rsidR="000C7D0F" w:rsidRPr="00FA44CB" w:rsidRDefault="000C7D0F" w:rsidP="006453B6"/>
          <w:p w14:paraId="0636D036" w14:textId="77777777" w:rsidR="000C7D0F" w:rsidRPr="00FA44CB" w:rsidRDefault="000C7D0F" w:rsidP="006453B6"/>
          <w:p w14:paraId="7FDE67E7" w14:textId="77777777" w:rsidR="000C7D0F" w:rsidRPr="00FA44CB" w:rsidRDefault="000C7D0F" w:rsidP="006453B6"/>
        </w:tc>
      </w:tr>
      <w:tr w:rsidR="000C7D0F" w:rsidRPr="00FA44CB" w14:paraId="03857F3F" w14:textId="77777777" w:rsidTr="006453B6">
        <w:trPr>
          <w:trHeight w:val="1380"/>
        </w:trPr>
        <w:tc>
          <w:tcPr>
            <w:tcW w:w="3146" w:type="dxa"/>
          </w:tcPr>
          <w:p w14:paraId="7C9B8618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</w:rPr>
              <w:t>Agreements</w:t>
            </w:r>
            <w:r w:rsidRPr="00FA44CB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FA44CB">
              <w:rPr>
                <w:rFonts w:ascii="Times New Roman" w:hAnsi="Times New Roman" w:cs="Times New Roman"/>
              </w:rPr>
              <w:t>in</w:t>
            </w:r>
            <w:r w:rsidRPr="00FA44CB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FA44CB">
              <w:rPr>
                <w:rFonts w:ascii="Times New Roman" w:hAnsi="Times New Roman" w:cs="Times New Roman"/>
              </w:rPr>
              <w:t>the</w:t>
            </w:r>
            <w:r w:rsidRPr="00FA44CB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FA44CB">
              <w:rPr>
                <w:rFonts w:ascii="Times New Roman" w:hAnsi="Times New Roman" w:cs="Times New Roman"/>
              </w:rPr>
              <w:t>capacity of Clearing Member with constituents as applicable only</w:t>
            </w:r>
            <w:r w:rsidRPr="00FA44CB">
              <w:rPr>
                <w:rFonts w:ascii="Times New Roman" w:hAnsi="Times New Roman" w:cs="Times New Roman"/>
                <w:spacing w:val="42"/>
              </w:rPr>
              <w:t xml:space="preserve"> </w:t>
            </w:r>
            <w:r w:rsidRPr="00FA44CB">
              <w:rPr>
                <w:rFonts w:ascii="Times New Roman" w:hAnsi="Times New Roman" w:cs="Times New Roman"/>
              </w:rPr>
              <w:t>to</w:t>
            </w:r>
            <w:r w:rsidRPr="00FA44CB">
              <w:rPr>
                <w:rFonts w:ascii="Times New Roman" w:hAnsi="Times New Roman" w:cs="Times New Roman"/>
                <w:spacing w:val="42"/>
              </w:rPr>
              <w:t xml:space="preserve"> </w:t>
            </w:r>
            <w:r w:rsidRPr="00FA44CB">
              <w:rPr>
                <w:rFonts w:ascii="Times New Roman" w:hAnsi="Times New Roman" w:cs="Times New Roman"/>
              </w:rPr>
              <w:t>Trading</w:t>
            </w:r>
            <w:r w:rsidRPr="00FA44CB">
              <w:rPr>
                <w:rFonts w:ascii="Times New Roman" w:hAnsi="Times New Roman" w:cs="Times New Roman"/>
                <w:spacing w:val="43"/>
              </w:rPr>
              <w:t xml:space="preserve"> </w:t>
            </w:r>
            <w:r w:rsidRPr="00FA44CB">
              <w:rPr>
                <w:rFonts w:ascii="Times New Roman" w:hAnsi="Times New Roman" w:cs="Times New Roman"/>
                <w:spacing w:val="-2"/>
              </w:rPr>
              <w:t>Members</w:t>
            </w:r>
          </w:p>
          <w:p w14:paraId="7574359C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</w:rPr>
              <w:t>and</w:t>
            </w:r>
            <w:r w:rsidRPr="00FA44C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FA44CB">
              <w:rPr>
                <w:rFonts w:ascii="Times New Roman" w:hAnsi="Times New Roman" w:cs="Times New Roman"/>
              </w:rPr>
              <w:t xml:space="preserve">Custodial </w:t>
            </w:r>
            <w:r w:rsidRPr="00FA44CB">
              <w:rPr>
                <w:rFonts w:ascii="Times New Roman" w:hAnsi="Times New Roman" w:cs="Times New Roman"/>
                <w:spacing w:val="-2"/>
              </w:rPr>
              <w:t>Participants</w:t>
            </w:r>
          </w:p>
        </w:tc>
        <w:tc>
          <w:tcPr>
            <w:tcW w:w="4110" w:type="dxa"/>
          </w:tcPr>
          <w:p w14:paraId="06399B49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</w:rPr>
              <w:t>Regulation</w:t>
            </w:r>
            <w:r w:rsidRPr="00FA44CB">
              <w:rPr>
                <w:rFonts w:ascii="Times New Roman" w:hAnsi="Times New Roman" w:cs="Times New Roman"/>
                <w:spacing w:val="-10"/>
              </w:rPr>
              <w:t xml:space="preserve"> 13.4 of ARCL </w:t>
            </w:r>
            <w:r w:rsidRPr="00FA44CB">
              <w:rPr>
                <w:rFonts w:ascii="Times New Roman" w:hAnsi="Times New Roman" w:cs="Times New Roman"/>
              </w:rPr>
              <w:t>Master Circular of AMC Repo/Ops/2023/006 dated July 21 2023</w:t>
            </w:r>
          </w:p>
        </w:tc>
        <w:tc>
          <w:tcPr>
            <w:tcW w:w="1955" w:type="dxa"/>
          </w:tcPr>
          <w:p w14:paraId="6B06EB80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</w:rPr>
              <w:t xml:space="preserve"> July 21 2023</w:t>
            </w:r>
          </w:p>
        </w:tc>
      </w:tr>
      <w:tr w:rsidR="000C7D0F" w:rsidRPr="00FA44CB" w14:paraId="30919271" w14:textId="77777777" w:rsidTr="006453B6">
        <w:trPr>
          <w:trHeight w:val="551"/>
        </w:trPr>
        <w:tc>
          <w:tcPr>
            <w:tcW w:w="3146" w:type="dxa"/>
          </w:tcPr>
          <w:p w14:paraId="336F3D2C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</w:rPr>
              <w:t xml:space="preserve">Provisions of </w:t>
            </w:r>
            <w:r w:rsidRPr="00FA44CB">
              <w:rPr>
                <w:rFonts w:ascii="Times New Roman" w:hAnsi="Times New Roman" w:cs="Times New Roman"/>
                <w:spacing w:val="-4"/>
              </w:rPr>
              <w:t>PMLA</w:t>
            </w:r>
          </w:p>
        </w:tc>
        <w:tc>
          <w:tcPr>
            <w:tcW w:w="4110" w:type="dxa"/>
          </w:tcPr>
          <w:p w14:paraId="4D8A9E0B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  <w:spacing w:val="-4"/>
              </w:rPr>
            </w:pPr>
            <w:r w:rsidRPr="00FA44CB">
              <w:rPr>
                <w:rFonts w:ascii="Times New Roman" w:hAnsi="Times New Roman" w:cs="Times New Roman"/>
              </w:rPr>
              <w:t>Anti-Money</w:t>
            </w:r>
            <w:r w:rsidRPr="00FA44C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FA44CB">
              <w:rPr>
                <w:rFonts w:ascii="Times New Roman" w:hAnsi="Times New Roman" w:cs="Times New Roman"/>
              </w:rPr>
              <w:t>Laundering</w:t>
            </w:r>
            <w:r w:rsidRPr="00FA44C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FA44CB">
              <w:rPr>
                <w:rFonts w:ascii="Times New Roman" w:hAnsi="Times New Roman" w:cs="Times New Roman"/>
              </w:rPr>
              <w:t>Act,</w:t>
            </w:r>
            <w:r w:rsidRPr="00FA44C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FA44CB">
              <w:rPr>
                <w:rFonts w:ascii="Times New Roman" w:hAnsi="Times New Roman" w:cs="Times New Roman"/>
                <w:spacing w:val="-4"/>
              </w:rPr>
              <w:t>2002</w:t>
            </w:r>
          </w:p>
          <w:p w14:paraId="59DDFCC3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  <w:spacing w:val="-4"/>
              </w:rPr>
              <w:t>SEBI circulars dated February 03, 2023 and June 16, 2023</w:t>
            </w:r>
          </w:p>
        </w:tc>
        <w:tc>
          <w:tcPr>
            <w:tcW w:w="1955" w:type="dxa"/>
          </w:tcPr>
          <w:p w14:paraId="3436ACD7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  <w:spacing w:val="-4"/>
              </w:rPr>
              <w:t>February 03, 2023 and June 16, 2023</w:t>
            </w:r>
          </w:p>
        </w:tc>
      </w:tr>
      <w:tr w:rsidR="000C7D0F" w:rsidRPr="00FA44CB" w14:paraId="1CF58E26" w14:textId="77777777" w:rsidTr="006453B6">
        <w:trPr>
          <w:trHeight w:val="1083"/>
        </w:trPr>
        <w:tc>
          <w:tcPr>
            <w:tcW w:w="3146" w:type="dxa"/>
          </w:tcPr>
          <w:p w14:paraId="5BABC6D3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  <w:spacing w:val="-2"/>
              </w:rPr>
              <w:t>NISM/SORM</w:t>
            </w:r>
          </w:p>
        </w:tc>
        <w:tc>
          <w:tcPr>
            <w:tcW w:w="4110" w:type="dxa"/>
          </w:tcPr>
          <w:p w14:paraId="67F77B52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</w:rPr>
              <w:t xml:space="preserve">SEBI notification no. LAD- </w:t>
            </w:r>
            <w:r w:rsidRPr="00FA44CB">
              <w:rPr>
                <w:rFonts w:ascii="Times New Roman" w:hAnsi="Times New Roman" w:cs="Times New Roman"/>
                <w:spacing w:val="-2"/>
              </w:rPr>
              <w:t>NRO/GN/2010-11/21/29390</w:t>
            </w:r>
            <w:r w:rsidRPr="00FA44CB">
              <w:rPr>
                <w:rFonts w:ascii="Times New Roman" w:hAnsi="Times New Roman" w:cs="Times New Roman"/>
              </w:rPr>
              <w:tab/>
            </w:r>
            <w:r w:rsidRPr="00FA44CB">
              <w:rPr>
                <w:rFonts w:ascii="Times New Roman" w:hAnsi="Times New Roman" w:cs="Times New Roman"/>
                <w:spacing w:val="-4"/>
              </w:rPr>
              <w:t xml:space="preserve">dated </w:t>
            </w:r>
            <w:r w:rsidRPr="00FA44CB">
              <w:rPr>
                <w:rFonts w:ascii="Times New Roman" w:hAnsi="Times New Roman" w:cs="Times New Roman"/>
              </w:rPr>
              <w:t xml:space="preserve">December 10, 2010, SEBI vide its notification no. LAD-NRO/GN/202- 13/33/1103, </w:t>
            </w:r>
          </w:p>
        </w:tc>
        <w:tc>
          <w:tcPr>
            <w:tcW w:w="1955" w:type="dxa"/>
          </w:tcPr>
          <w:p w14:paraId="1C42DD7F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</w:rPr>
              <w:t>December 10, 2010</w:t>
            </w:r>
          </w:p>
          <w:p w14:paraId="4C380968" w14:textId="77777777" w:rsidR="000C7D0F" w:rsidRPr="00FA44CB" w:rsidRDefault="000C7D0F" w:rsidP="006453B6"/>
          <w:p w14:paraId="1CCDC46F" w14:textId="77777777" w:rsidR="000C7D0F" w:rsidRPr="00FA44CB" w:rsidRDefault="000C7D0F" w:rsidP="006453B6"/>
        </w:tc>
      </w:tr>
      <w:tr w:rsidR="000C7D0F" w:rsidRPr="00FA44CB" w14:paraId="67CC1576" w14:textId="77777777" w:rsidTr="006453B6">
        <w:trPr>
          <w:trHeight w:val="827"/>
        </w:trPr>
        <w:tc>
          <w:tcPr>
            <w:tcW w:w="3146" w:type="dxa"/>
          </w:tcPr>
          <w:p w14:paraId="135B07A6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</w:rPr>
              <w:t>Guidelines</w:t>
            </w:r>
            <w:r w:rsidRPr="00FA44CB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FA44CB">
              <w:rPr>
                <w:rFonts w:ascii="Times New Roman" w:hAnsi="Times New Roman" w:cs="Times New Roman"/>
              </w:rPr>
              <w:t>on</w:t>
            </w:r>
            <w:r w:rsidRPr="00FA44CB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FA44CB">
              <w:rPr>
                <w:rFonts w:ascii="Times New Roman" w:hAnsi="Times New Roman" w:cs="Times New Roman"/>
              </w:rPr>
              <w:t xml:space="preserve">Outsourcing of Activities by </w:t>
            </w:r>
            <w:r w:rsidRPr="00FA44CB">
              <w:rPr>
                <w:rFonts w:ascii="Times New Roman" w:hAnsi="Times New Roman" w:cs="Times New Roman"/>
                <w:spacing w:val="-2"/>
              </w:rPr>
              <w:t>Intermediaries</w:t>
            </w:r>
          </w:p>
        </w:tc>
        <w:tc>
          <w:tcPr>
            <w:tcW w:w="4110" w:type="dxa"/>
          </w:tcPr>
          <w:p w14:paraId="2641157E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</w:rPr>
              <w:t>SEBI</w:t>
            </w:r>
            <w:r w:rsidRPr="00FA44C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FA44CB">
              <w:rPr>
                <w:rFonts w:ascii="Times New Roman" w:hAnsi="Times New Roman" w:cs="Times New Roman"/>
              </w:rPr>
              <w:t>circular</w:t>
            </w:r>
            <w:r w:rsidRPr="00FA44CB">
              <w:rPr>
                <w:rFonts w:ascii="Times New Roman" w:hAnsi="Times New Roman" w:cs="Times New Roman"/>
                <w:spacing w:val="-2"/>
              </w:rPr>
              <w:t xml:space="preserve"> CIR/MIRSD/24/2011</w:t>
            </w:r>
          </w:p>
        </w:tc>
        <w:tc>
          <w:tcPr>
            <w:tcW w:w="1955" w:type="dxa"/>
          </w:tcPr>
          <w:p w14:paraId="29E2405E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</w:rPr>
              <w:t>December</w:t>
            </w:r>
            <w:r w:rsidRPr="00FA44C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FA44CB">
              <w:rPr>
                <w:rFonts w:ascii="Times New Roman" w:hAnsi="Times New Roman" w:cs="Times New Roman"/>
              </w:rPr>
              <w:t>15,</w:t>
            </w:r>
            <w:r w:rsidRPr="00FA44C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FA44CB">
              <w:rPr>
                <w:rFonts w:ascii="Times New Roman" w:hAnsi="Times New Roman" w:cs="Times New Roman"/>
                <w:spacing w:val="-4"/>
              </w:rPr>
              <w:t>2011</w:t>
            </w:r>
          </w:p>
        </w:tc>
      </w:tr>
      <w:tr w:rsidR="000C7D0F" w:rsidRPr="00FA44CB" w14:paraId="0D809147" w14:textId="77777777" w:rsidTr="006453B6">
        <w:trPr>
          <w:trHeight w:val="842"/>
        </w:trPr>
        <w:tc>
          <w:tcPr>
            <w:tcW w:w="3146" w:type="dxa"/>
          </w:tcPr>
          <w:p w14:paraId="1B603C5E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</w:rPr>
              <w:t>Procedure</w:t>
            </w:r>
            <w:r w:rsidRPr="00FA44CB">
              <w:rPr>
                <w:rFonts w:ascii="Times New Roman" w:hAnsi="Times New Roman" w:cs="Times New Roman"/>
                <w:spacing w:val="44"/>
              </w:rPr>
              <w:t xml:space="preserve"> </w:t>
            </w:r>
            <w:r w:rsidRPr="00FA44CB">
              <w:rPr>
                <w:rFonts w:ascii="Times New Roman" w:hAnsi="Times New Roman" w:cs="Times New Roman"/>
              </w:rPr>
              <w:t>in</w:t>
            </w:r>
            <w:r w:rsidRPr="00FA44CB">
              <w:rPr>
                <w:rFonts w:ascii="Times New Roman" w:hAnsi="Times New Roman" w:cs="Times New Roman"/>
                <w:spacing w:val="47"/>
              </w:rPr>
              <w:t xml:space="preserve"> </w:t>
            </w:r>
            <w:r w:rsidRPr="00FA44CB">
              <w:rPr>
                <w:rFonts w:ascii="Times New Roman" w:hAnsi="Times New Roman" w:cs="Times New Roman"/>
              </w:rPr>
              <w:t>the</w:t>
            </w:r>
            <w:r w:rsidRPr="00FA44CB">
              <w:rPr>
                <w:rFonts w:ascii="Times New Roman" w:hAnsi="Times New Roman" w:cs="Times New Roman"/>
                <w:spacing w:val="45"/>
              </w:rPr>
              <w:t xml:space="preserve"> </w:t>
            </w:r>
            <w:r w:rsidRPr="00FA44CB">
              <w:rPr>
                <w:rFonts w:ascii="Times New Roman" w:hAnsi="Times New Roman" w:cs="Times New Roman"/>
              </w:rPr>
              <w:t>cases</w:t>
            </w:r>
            <w:r w:rsidRPr="00FA44CB">
              <w:rPr>
                <w:rFonts w:ascii="Times New Roman" w:hAnsi="Times New Roman" w:cs="Times New Roman"/>
                <w:spacing w:val="49"/>
              </w:rPr>
              <w:t xml:space="preserve"> </w:t>
            </w:r>
            <w:r w:rsidRPr="00FA44CB">
              <w:rPr>
                <w:rFonts w:ascii="Times New Roman" w:hAnsi="Times New Roman" w:cs="Times New Roman"/>
                <w:spacing w:val="-5"/>
              </w:rPr>
              <w:t>of</w:t>
            </w:r>
          </w:p>
          <w:p w14:paraId="55F89639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  <w:spacing w:val="-2"/>
              </w:rPr>
            </w:pPr>
            <w:r w:rsidRPr="00FA44CB">
              <w:rPr>
                <w:rFonts w:ascii="Times New Roman" w:hAnsi="Times New Roman" w:cs="Times New Roman"/>
              </w:rPr>
              <w:t>TM/Clearing Member</w:t>
            </w:r>
            <w:r w:rsidRPr="00FA44C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FA44CB">
              <w:rPr>
                <w:rFonts w:ascii="Times New Roman" w:hAnsi="Times New Roman" w:cs="Times New Roman"/>
              </w:rPr>
              <w:t>leading</w:t>
            </w:r>
            <w:r w:rsidRPr="00FA44C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FA44CB">
              <w:rPr>
                <w:rFonts w:ascii="Times New Roman" w:hAnsi="Times New Roman" w:cs="Times New Roman"/>
              </w:rPr>
              <w:t>to</w:t>
            </w:r>
            <w:r w:rsidRPr="00FA44CB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FA44CB">
              <w:rPr>
                <w:rFonts w:ascii="Times New Roman" w:hAnsi="Times New Roman" w:cs="Times New Roman"/>
                <w:spacing w:val="-2"/>
              </w:rPr>
              <w:t>default</w:t>
            </w:r>
          </w:p>
        </w:tc>
        <w:tc>
          <w:tcPr>
            <w:tcW w:w="4110" w:type="dxa"/>
          </w:tcPr>
          <w:p w14:paraId="3CA7EBC3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  <w:spacing w:val="-2"/>
              </w:rPr>
              <w:t xml:space="preserve">Bye-laws 11.1, Regulation 5.2 of ARCL, </w:t>
            </w:r>
            <w:r w:rsidRPr="00FA44CB">
              <w:rPr>
                <w:rFonts w:ascii="Times New Roman" w:hAnsi="Times New Roman" w:cs="Times New Roman"/>
              </w:rPr>
              <w:t>Master Circular of AMC Repo/Ops/2023/006 dated July 21 2023</w:t>
            </w:r>
          </w:p>
        </w:tc>
        <w:tc>
          <w:tcPr>
            <w:tcW w:w="1955" w:type="dxa"/>
          </w:tcPr>
          <w:p w14:paraId="110C76A1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</w:rPr>
              <w:t>July 21, 2023</w:t>
            </w:r>
          </w:p>
          <w:p w14:paraId="262FA959" w14:textId="77777777" w:rsidR="000C7D0F" w:rsidRPr="00FA44CB" w:rsidRDefault="000C7D0F" w:rsidP="006453B6"/>
        </w:tc>
      </w:tr>
      <w:tr w:rsidR="000C7D0F" w:rsidRPr="00FA44CB" w14:paraId="65270C6E" w14:textId="77777777" w:rsidTr="006453B6">
        <w:trPr>
          <w:trHeight w:val="556"/>
        </w:trPr>
        <w:tc>
          <w:tcPr>
            <w:tcW w:w="3146" w:type="dxa"/>
          </w:tcPr>
          <w:p w14:paraId="18521162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</w:rPr>
              <w:t>Reporting</w:t>
            </w:r>
            <w:r w:rsidRPr="00FA44CB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FA44CB">
              <w:rPr>
                <w:rFonts w:ascii="Times New Roman" w:hAnsi="Times New Roman" w:cs="Times New Roman"/>
              </w:rPr>
              <w:t>of</w:t>
            </w:r>
            <w:r w:rsidRPr="00FA44CB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FA44CB">
              <w:rPr>
                <w:rFonts w:ascii="Times New Roman" w:hAnsi="Times New Roman" w:cs="Times New Roman"/>
              </w:rPr>
              <w:t xml:space="preserve">Bank </w:t>
            </w:r>
            <w:r w:rsidRPr="00FA44CB">
              <w:rPr>
                <w:rFonts w:ascii="Times New Roman" w:hAnsi="Times New Roman" w:cs="Times New Roman"/>
                <w:spacing w:val="-2"/>
              </w:rPr>
              <w:t>Accounts</w:t>
            </w:r>
          </w:p>
        </w:tc>
        <w:tc>
          <w:tcPr>
            <w:tcW w:w="4110" w:type="dxa"/>
          </w:tcPr>
          <w:p w14:paraId="1F71A61C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</w:rPr>
              <w:t>Master Circular of AMC Repo/Ops/2023/006 dated July 21 2023</w:t>
            </w:r>
          </w:p>
        </w:tc>
        <w:tc>
          <w:tcPr>
            <w:tcW w:w="1955" w:type="dxa"/>
          </w:tcPr>
          <w:p w14:paraId="65FE3AEA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</w:rPr>
              <w:t>July 21 2023</w:t>
            </w:r>
          </w:p>
        </w:tc>
      </w:tr>
      <w:tr w:rsidR="000C7D0F" w:rsidRPr="00FA44CB" w14:paraId="6BB7C270" w14:textId="77777777" w:rsidTr="006453B6">
        <w:trPr>
          <w:trHeight w:val="834"/>
        </w:trPr>
        <w:tc>
          <w:tcPr>
            <w:tcW w:w="3146" w:type="dxa"/>
          </w:tcPr>
          <w:p w14:paraId="2614C79B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</w:rPr>
              <w:t xml:space="preserve">Rule 8(1)(f) and 8(3)(f) of </w:t>
            </w:r>
            <w:r w:rsidRPr="00FA44CB">
              <w:rPr>
                <w:rFonts w:ascii="Times New Roman" w:hAnsi="Times New Roman" w:cs="Times New Roman"/>
                <w:spacing w:val="-2"/>
              </w:rPr>
              <w:t>Securities</w:t>
            </w:r>
            <w:r w:rsidRPr="00FA44CB">
              <w:rPr>
                <w:rFonts w:ascii="Times New Roman" w:hAnsi="Times New Roman" w:cs="Times New Roman"/>
              </w:rPr>
              <w:tab/>
            </w:r>
            <w:r w:rsidRPr="00FA44CB">
              <w:rPr>
                <w:rFonts w:ascii="Times New Roman" w:hAnsi="Times New Roman" w:cs="Times New Roman"/>
                <w:spacing w:val="-2"/>
              </w:rPr>
              <w:t xml:space="preserve">Contracts </w:t>
            </w:r>
            <w:r w:rsidRPr="00FA44CB">
              <w:rPr>
                <w:rFonts w:ascii="Times New Roman" w:hAnsi="Times New Roman" w:cs="Times New Roman"/>
              </w:rPr>
              <w:t>(Regulation) Rules, 1957</w:t>
            </w:r>
          </w:p>
        </w:tc>
        <w:tc>
          <w:tcPr>
            <w:tcW w:w="4110" w:type="dxa"/>
          </w:tcPr>
          <w:p w14:paraId="063A5184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</w:rPr>
              <w:t xml:space="preserve">SEBI Circular No. SMD/Policy/Cir-6 dated May 07, 1997, e SEBI Circular No. CIR/MIRSD/4/2015 </w:t>
            </w:r>
          </w:p>
        </w:tc>
        <w:tc>
          <w:tcPr>
            <w:tcW w:w="1955" w:type="dxa"/>
          </w:tcPr>
          <w:p w14:paraId="0655DE05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</w:rPr>
              <w:t>September 29, 2015</w:t>
            </w:r>
          </w:p>
          <w:p w14:paraId="2733079C" w14:textId="77777777" w:rsidR="000C7D0F" w:rsidRPr="00FA44CB" w:rsidRDefault="000C7D0F" w:rsidP="006453B6"/>
        </w:tc>
      </w:tr>
      <w:tr w:rsidR="000C7D0F" w:rsidRPr="00FA44CB" w14:paraId="1A382F69" w14:textId="77777777" w:rsidTr="006453B6">
        <w:trPr>
          <w:trHeight w:val="1195"/>
        </w:trPr>
        <w:tc>
          <w:tcPr>
            <w:tcW w:w="3146" w:type="dxa"/>
          </w:tcPr>
          <w:p w14:paraId="03AB2991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  <w:spacing w:val="-2"/>
              </w:rPr>
              <w:t>Clarification</w:t>
            </w:r>
            <w:r w:rsidRPr="00FA44CB">
              <w:rPr>
                <w:rFonts w:ascii="Times New Roman" w:hAnsi="Times New Roman" w:cs="Times New Roman"/>
              </w:rPr>
              <w:tab/>
            </w:r>
            <w:r w:rsidRPr="00FA44CB">
              <w:rPr>
                <w:rFonts w:ascii="Times New Roman" w:hAnsi="Times New Roman" w:cs="Times New Roman"/>
                <w:spacing w:val="-6"/>
              </w:rPr>
              <w:t>to</w:t>
            </w:r>
            <w:r w:rsidRPr="00FA44CB">
              <w:rPr>
                <w:rFonts w:ascii="Times New Roman" w:hAnsi="Times New Roman" w:cs="Times New Roman"/>
              </w:rPr>
              <w:t xml:space="preserve"> </w:t>
            </w:r>
            <w:r w:rsidRPr="00FA44CB">
              <w:rPr>
                <w:rFonts w:ascii="Times New Roman" w:hAnsi="Times New Roman" w:cs="Times New Roman"/>
                <w:spacing w:val="-2"/>
              </w:rPr>
              <w:t>Gazette Notification</w:t>
            </w:r>
            <w:r w:rsidRPr="00FA44CB">
              <w:rPr>
                <w:rFonts w:ascii="Times New Roman" w:hAnsi="Times New Roman" w:cs="Times New Roman"/>
              </w:rPr>
              <w:tab/>
              <w:t xml:space="preserve"> </w:t>
            </w:r>
            <w:r w:rsidRPr="00FA44CB">
              <w:rPr>
                <w:rFonts w:ascii="Times New Roman" w:hAnsi="Times New Roman" w:cs="Times New Roman"/>
                <w:spacing w:val="-6"/>
              </w:rPr>
              <w:t xml:space="preserve">of </w:t>
            </w:r>
            <w:r w:rsidRPr="00FA44CB">
              <w:rPr>
                <w:rFonts w:ascii="Times New Roman" w:hAnsi="Times New Roman" w:cs="Times New Roman"/>
                <w:spacing w:val="-4"/>
              </w:rPr>
              <w:t xml:space="preserve">SEBI </w:t>
            </w:r>
            <w:r w:rsidRPr="00FA44CB">
              <w:rPr>
                <w:rFonts w:ascii="Times New Roman" w:hAnsi="Times New Roman" w:cs="Times New Roman"/>
                <w:spacing w:val="-2"/>
              </w:rPr>
              <w:t>(Stock Brokers) (Amendment)</w:t>
            </w:r>
            <w:r w:rsidRPr="00FA44CB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FA44CB">
              <w:rPr>
                <w:rFonts w:ascii="Times New Roman" w:hAnsi="Times New Roman" w:cs="Times New Roman"/>
              </w:rPr>
              <w:t>Regulations, 2022</w:t>
            </w:r>
          </w:p>
        </w:tc>
        <w:tc>
          <w:tcPr>
            <w:tcW w:w="4110" w:type="dxa"/>
          </w:tcPr>
          <w:p w14:paraId="58666249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  <w:spacing w:val="-2"/>
              </w:rPr>
            </w:pPr>
            <w:r w:rsidRPr="00FA44CB">
              <w:rPr>
                <w:rFonts w:ascii="Times New Roman" w:hAnsi="Times New Roman" w:cs="Times New Roman"/>
                <w:spacing w:val="-2"/>
              </w:rPr>
              <w:t>Gazette notification</w:t>
            </w:r>
          </w:p>
        </w:tc>
        <w:tc>
          <w:tcPr>
            <w:tcW w:w="1955" w:type="dxa"/>
          </w:tcPr>
          <w:p w14:paraId="6AD576B7" w14:textId="77777777" w:rsidR="000C7D0F" w:rsidRPr="00FA44CB" w:rsidRDefault="000C7D0F" w:rsidP="006453B6">
            <w:pPr>
              <w:pStyle w:val="NoSpacing"/>
              <w:rPr>
                <w:rFonts w:ascii="Times New Roman" w:hAnsi="Times New Roman" w:cs="Times New Roman"/>
              </w:rPr>
            </w:pPr>
            <w:r w:rsidRPr="00FA44CB">
              <w:rPr>
                <w:rFonts w:ascii="Times New Roman" w:hAnsi="Times New Roman" w:cs="Times New Roman"/>
                <w:spacing w:val="-4"/>
              </w:rPr>
              <w:t xml:space="preserve"> January 17, 2023</w:t>
            </w:r>
          </w:p>
        </w:tc>
      </w:tr>
    </w:tbl>
    <w:p w14:paraId="787F9C64" w14:textId="77777777" w:rsidR="000C7D0F" w:rsidRPr="00FA44CB" w:rsidRDefault="000C7D0F" w:rsidP="000C7D0F">
      <w:pPr>
        <w:tabs>
          <w:tab w:val="left" w:pos="2805"/>
        </w:tabs>
        <w:jc w:val="both"/>
        <w:rPr>
          <w:b/>
          <w:bCs/>
        </w:rPr>
      </w:pPr>
    </w:p>
    <w:p w14:paraId="741633D5" w14:textId="77777777" w:rsidR="00BF4AFD" w:rsidRPr="00EC7045" w:rsidRDefault="00BF4AFD" w:rsidP="00EC7045"/>
    <w:sectPr w:rsidR="00BF4AFD" w:rsidRPr="00EC7045" w:rsidSect="00965E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1BD9B8" w14:textId="77777777" w:rsidR="00965EAE" w:rsidRDefault="00965EAE" w:rsidP="006B073A">
      <w:r>
        <w:separator/>
      </w:r>
    </w:p>
  </w:endnote>
  <w:endnote w:type="continuationSeparator" w:id="0">
    <w:p w14:paraId="20675C7F" w14:textId="77777777" w:rsidR="00965EAE" w:rsidRDefault="00965EAE" w:rsidP="006B073A">
      <w:r>
        <w:continuationSeparator/>
      </w:r>
    </w:p>
  </w:endnote>
  <w:endnote w:type="continuationNotice" w:id="1">
    <w:p w14:paraId="11B9AA1B" w14:textId="77777777" w:rsidR="00965EAE" w:rsidRDefault="00965E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D53DFE" w14:textId="77777777" w:rsidR="003C1D0F" w:rsidRDefault="003C1D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16"/>
    </w:tblGrid>
    <w:tr w:rsidR="006B073A" w14:paraId="0AD5D129" w14:textId="77777777" w:rsidTr="006B073A">
      <w:tc>
        <w:tcPr>
          <w:tcW w:w="9016" w:type="dxa"/>
        </w:tcPr>
        <w:p w14:paraId="47C5C2E6" w14:textId="77777777" w:rsidR="006B073A" w:rsidRPr="004853ED" w:rsidRDefault="006B073A" w:rsidP="00D60692">
          <w:pPr>
            <w:shd w:val="clear" w:color="auto" w:fill="FFFFFF"/>
            <w:jc w:val="center"/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</w:pP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t>Registered Office:</w:t>
          </w:r>
          <w:r w:rsidRPr="006B073A">
            <w:rPr>
              <w:rFonts w:ascii="Calibri" w:hAnsi="Calibri"/>
              <w:color w:val="4B9BC3"/>
              <w:sz w:val="20"/>
              <w:szCs w:val="20"/>
              <w:lang w:val="en-US" w:eastAsia="en-IN"/>
              <w14:ligatures w14:val="none"/>
            </w:rPr>
            <w:t xml:space="preserve"> </w:t>
          </w:r>
          <w:r w:rsidRPr="004853ED"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  <w:t>Unit No. 503, Windsor, Off CST Road, Kalina, Santacruz East, Mumbai 400098</w:t>
          </w:r>
        </w:p>
        <w:p w14:paraId="0A7A2478" w14:textId="33D7E715" w:rsidR="006B073A" w:rsidRPr="006B073A" w:rsidRDefault="006B073A" w:rsidP="00D60692">
          <w:pPr>
            <w:shd w:val="clear" w:color="auto" w:fill="FFFFFF"/>
            <w:jc w:val="center"/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</w:pP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t>CIN</w:t>
          </w:r>
          <w:r w:rsidRPr="006B073A">
            <w:rPr>
              <w:rFonts w:ascii="Calibri" w:hAnsi="Calibri"/>
              <w:color w:val="4B9BC3"/>
              <w:sz w:val="20"/>
              <w:szCs w:val="20"/>
              <w:lang w:val="en-US" w:eastAsia="en-IN"/>
              <w14:ligatures w14:val="none"/>
            </w:rPr>
            <w:t xml:space="preserve">: </w:t>
          </w:r>
          <w:r w:rsidRPr="004853ED"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  <w:t xml:space="preserve">U65929MH2021PLC3591081 </w:t>
          </w: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sym w:font="Symbol" w:char="F0B7"/>
          </w: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t xml:space="preserve"> GSTIN:</w:t>
          </w:r>
          <w:r w:rsidRPr="004853ED">
            <w:rPr>
              <w:rFonts w:ascii="Calibri" w:hAnsi="Calibri"/>
              <w:color w:val="00B0F0"/>
              <w:sz w:val="20"/>
              <w:szCs w:val="20"/>
              <w:lang w:val="en-US" w:eastAsia="en-IN"/>
              <w14:ligatures w14:val="none"/>
            </w:rPr>
            <w:t xml:space="preserve"> </w:t>
          </w:r>
          <w:r w:rsidRPr="004853ED"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  <w:t xml:space="preserve">27AAVCA1159N1Z0 </w:t>
          </w: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sym w:font="Symbol" w:char="F0B7"/>
          </w: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t xml:space="preserve"> Website:</w:t>
          </w:r>
          <w:r w:rsidRPr="006B073A">
            <w:rPr>
              <w:rFonts w:ascii="Calibri" w:hAnsi="Calibri"/>
              <w:color w:val="4B9BC3"/>
              <w:sz w:val="20"/>
              <w:szCs w:val="20"/>
              <w:lang w:val="en-US" w:eastAsia="en-IN"/>
              <w14:ligatures w14:val="none"/>
            </w:rPr>
            <w:t xml:space="preserve"> </w:t>
          </w:r>
          <w:r w:rsidRPr="004853ED"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  <w:t>www.arclindia.com</w:t>
          </w:r>
        </w:p>
      </w:tc>
    </w:tr>
  </w:tbl>
  <w:p w14:paraId="5BB41D52" w14:textId="2118546F" w:rsidR="006B073A" w:rsidRPr="004853ED" w:rsidRDefault="000E07B7" w:rsidP="00D60692">
    <w:pPr>
      <w:shd w:val="clear" w:color="auto" w:fill="FFFFFF"/>
      <w:jc w:val="both"/>
      <w:rPr>
        <w:sz w:val="16"/>
        <w:szCs w:val="16"/>
        <w:lang w:val="en-US"/>
      </w:rPr>
    </w:pPr>
    <w:r>
      <w:rPr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D6BF347" wp14:editId="026E649D">
              <wp:simplePos x="0" y="0"/>
              <wp:positionH relativeFrom="column">
                <wp:posOffset>-907200</wp:posOffset>
              </wp:positionH>
              <wp:positionV relativeFrom="paragraph">
                <wp:posOffset>172110</wp:posOffset>
              </wp:positionV>
              <wp:extent cx="7596000" cy="108000"/>
              <wp:effectExtent l="0" t="0" r="24130" b="25400"/>
              <wp:wrapNone/>
              <wp:docPr id="1540348508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96000" cy="108000"/>
                      </a:xfrm>
                      <a:prstGeom prst="rect">
                        <a:avLst/>
                      </a:prstGeom>
                      <a:solidFill>
                        <a:srgbClr val="4B9BC3"/>
                      </a:solidFill>
                      <a:ln>
                        <a:solidFill>
                          <a:srgbClr val="4B9BC3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A0AAA68" id="Rectangle 3" o:spid="_x0000_s1026" style="position:absolute;margin-left:-71.45pt;margin-top:13.55pt;width:598.1pt;height:8.5pt;z-index:25165824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" fillcolor="#4b9bc3" strokecolor="#4b9bc3" strokeweight="1pt"/>
          </w:pict>
        </mc:Fallback>
      </mc:AlternateContent>
    </w:r>
    <w:r w:rsidR="006B073A">
      <w:rPr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8E11DCD" wp14:editId="7DF22DD6">
              <wp:simplePos x="0" y="0"/>
              <wp:positionH relativeFrom="column">
                <wp:posOffset>-906780</wp:posOffset>
              </wp:positionH>
              <wp:positionV relativeFrom="paragraph">
                <wp:posOffset>-404280</wp:posOffset>
              </wp:positionV>
              <wp:extent cx="7552800" cy="0"/>
              <wp:effectExtent l="0" t="19050" r="29210" b="19050"/>
              <wp:wrapNone/>
              <wp:docPr id="1677790403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280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4B9BC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0A0FB21" id="Straight Connector 2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4pt,-31.85pt" to="523.3pt,-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" strokecolor="#4b9bc3" strokeweight="2.25pt">
              <v:stroke joinstyle="miter"/>
            </v:line>
          </w:pict>
        </mc:Fallback>
      </mc:AlternateContent>
    </w:r>
  </w:p>
  <w:p w14:paraId="3908C2A6" w14:textId="77777777" w:rsidR="006B073A" w:rsidRDefault="006B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2B966" w14:textId="77777777" w:rsidR="003C1D0F" w:rsidRDefault="003C1D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82DB01" w14:textId="77777777" w:rsidR="00965EAE" w:rsidRDefault="00965EAE" w:rsidP="006B073A">
      <w:r>
        <w:separator/>
      </w:r>
    </w:p>
  </w:footnote>
  <w:footnote w:type="continuationSeparator" w:id="0">
    <w:p w14:paraId="03F1824E" w14:textId="77777777" w:rsidR="00965EAE" w:rsidRDefault="00965EAE" w:rsidP="006B073A">
      <w:r>
        <w:continuationSeparator/>
      </w:r>
    </w:p>
  </w:footnote>
  <w:footnote w:type="continuationNotice" w:id="1">
    <w:p w14:paraId="74EE6AC2" w14:textId="77777777" w:rsidR="00965EAE" w:rsidRDefault="00965E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D230A0" w14:textId="77777777" w:rsidR="003C1D0F" w:rsidRDefault="003C1D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0"/>
      <w:gridCol w:w="4395"/>
    </w:tblGrid>
    <w:tr w:rsidR="006B073A" w:rsidRPr="006B073A" w14:paraId="67114C1F" w14:textId="77777777" w:rsidTr="000E07B7">
      <w:tc>
        <w:tcPr>
          <w:tcW w:w="5670" w:type="dxa"/>
        </w:tcPr>
        <w:p w14:paraId="75CB33C8" w14:textId="1DA23567" w:rsidR="006B073A" w:rsidRDefault="006B073A" w:rsidP="006B073A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72E778B9" wp14:editId="350F35E9">
                <wp:extent cx="603623" cy="603623"/>
                <wp:effectExtent l="0" t="0" r="6350" b="0"/>
                <wp:docPr id="157825872" name="Picture 1578258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68836417" name="Picture 166883641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0159" cy="6201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5" w:type="dxa"/>
          <w:vAlign w:val="center"/>
        </w:tcPr>
        <w:p w14:paraId="0F8E7453" w14:textId="2015B771" w:rsidR="006B073A" w:rsidRPr="006B073A" w:rsidRDefault="006B073A" w:rsidP="000E07B7">
          <w:pPr>
            <w:pStyle w:val="Header"/>
            <w:rPr>
              <w:color w:val="4B9BC3"/>
            </w:rPr>
          </w:pPr>
          <w:r w:rsidRPr="006B073A">
            <w:rPr>
              <w:rFonts w:ascii="Arial" w:hAnsi="Arial" w:cs="Arial"/>
              <w:b/>
              <w:bCs/>
              <w:color w:val="4B9BC3"/>
              <w:sz w:val="30"/>
              <w:szCs w:val="30"/>
            </w:rPr>
            <w:t>AMC Repo Clearing Limited</w:t>
          </w:r>
        </w:p>
      </w:tc>
    </w:tr>
  </w:tbl>
  <w:p w14:paraId="77E6C96D" w14:textId="5954FA6F" w:rsidR="006B073A" w:rsidRDefault="000E07B7">
    <w:pPr>
      <w:pStyle w:val="Header"/>
    </w:pPr>
    <w:r>
      <w:rPr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C23F3FA" wp14:editId="4F1DCDC6">
              <wp:simplePos x="0" y="0"/>
              <wp:positionH relativeFrom="column">
                <wp:posOffset>-904625</wp:posOffset>
              </wp:positionH>
              <wp:positionV relativeFrom="paragraph">
                <wp:posOffset>12960</wp:posOffset>
              </wp:positionV>
              <wp:extent cx="7552800" cy="0"/>
              <wp:effectExtent l="0" t="19050" r="29210" b="19050"/>
              <wp:wrapNone/>
              <wp:docPr id="974918868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280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4B9BC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E54FD9A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25pt,1pt" to="523.4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" strokecolor="#4b9bc3" strokeweight="2.25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1EBD9" w14:textId="77777777" w:rsidR="003C1D0F" w:rsidRDefault="003C1D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52EEB"/>
    <w:multiLevelType w:val="hybridMultilevel"/>
    <w:tmpl w:val="54DE27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A1C43"/>
    <w:multiLevelType w:val="hybridMultilevel"/>
    <w:tmpl w:val="5588BCD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96030"/>
    <w:multiLevelType w:val="hybridMultilevel"/>
    <w:tmpl w:val="B5A87ECC"/>
    <w:lvl w:ilvl="0" w:tplc="40090011">
      <w:start w:val="1"/>
      <w:numFmt w:val="decimal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756CEA"/>
    <w:multiLevelType w:val="hybridMultilevel"/>
    <w:tmpl w:val="4BC8CC1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D7781A"/>
    <w:multiLevelType w:val="hybridMultilevel"/>
    <w:tmpl w:val="ACEEA1B8"/>
    <w:lvl w:ilvl="0" w:tplc="7EE6B2A4">
      <w:start w:val="1"/>
      <w:numFmt w:val="upperLetter"/>
      <w:lvlText w:val="(%1)"/>
      <w:lvlJc w:val="left"/>
      <w:pPr>
        <w:ind w:left="1855" w:hanging="392"/>
        <w:jc w:val="right"/>
      </w:pPr>
      <w:rPr>
        <w:rFonts w:hint="default"/>
        <w:spacing w:val="-2"/>
        <w:w w:val="99"/>
        <w:u w:val="single" w:color="000000"/>
        <w:lang w:val="en-US" w:eastAsia="en-US" w:bidi="ar-SA"/>
      </w:rPr>
    </w:lvl>
    <w:lvl w:ilvl="1" w:tplc="D8909844">
      <w:numFmt w:val="bullet"/>
      <w:lvlText w:val="•"/>
      <w:lvlJc w:val="left"/>
      <w:pPr>
        <w:ind w:left="2680" w:hanging="392"/>
      </w:pPr>
      <w:rPr>
        <w:rFonts w:hint="default"/>
        <w:lang w:val="en-US" w:eastAsia="en-US" w:bidi="ar-SA"/>
      </w:rPr>
    </w:lvl>
    <w:lvl w:ilvl="2" w:tplc="00ECDC34">
      <w:numFmt w:val="bullet"/>
      <w:lvlText w:val="•"/>
      <w:lvlJc w:val="left"/>
      <w:pPr>
        <w:ind w:left="3500" w:hanging="392"/>
      </w:pPr>
      <w:rPr>
        <w:rFonts w:hint="default"/>
        <w:lang w:val="en-US" w:eastAsia="en-US" w:bidi="ar-SA"/>
      </w:rPr>
    </w:lvl>
    <w:lvl w:ilvl="3" w:tplc="49CA60D0">
      <w:numFmt w:val="bullet"/>
      <w:lvlText w:val="•"/>
      <w:lvlJc w:val="left"/>
      <w:pPr>
        <w:ind w:left="4320" w:hanging="392"/>
      </w:pPr>
      <w:rPr>
        <w:rFonts w:hint="default"/>
        <w:lang w:val="en-US" w:eastAsia="en-US" w:bidi="ar-SA"/>
      </w:rPr>
    </w:lvl>
    <w:lvl w:ilvl="4" w:tplc="8452A13C">
      <w:numFmt w:val="bullet"/>
      <w:lvlText w:val="•"/>
      <w:lvlJc w:val="left"/>
      <w:pPr>
        <w:ind w:left="5140" w:hanging="392"/>
      </w:pPr>
      <w:rPr>
        <w:rFonts w:hint="default"/>
        <w:lang w:val="en-US" w:eastAsia="en-US" w:bidi="ar-SA"/>
      </w:rPr>
    </w:lvl>
    <w:lvl w:ilvl="5" w:tplc="FF9499DA">
      <w:numFmt w:val="bullet"/>
      <w:lvlText w:val="•"/>
      <w:lvlJc w:val="left"/>
      <w:pPr>
        <w:ind w:left="5960" w:hanging="392"/>
      </w:pPr>
      <w:rPr>
        <w:rFonts w:hint="default"/>
        <w:lang w:val="en-US" w:eastAsia="en-US" w:bidi="ar-SA"/>
      </w:rPr>
    </w:lvl>
    <w:lvl w:ilvl="6" w:tplc="D102CBA0">
      <w:numFmt w:val="bullet"/>
      <w:lvlText w:val="•"/>
      <w:lvlJc w:val="left"/>
      <w:pPr>
        <w:ind w:left="6780" w:hanging="392"/>
      </w:pPr>
      <w:rPr>
        <w:rFonts w:hint="default"/>
        <w:lang w:val="en-US" w:eastAsia="en-US" w:bidi="ar-SA"/>
      </w:rPr>
    </w:lvl>
    <w:lvl w:ilvl="7" w:tplc="3D2E938A">
      <w:numFmt w:val="bullet"/>
      <w:lvlText w:val="•"/>
      <w:lvlJc w:val="left"/>
      <w:pPr>
        <w:ind w:left="7600" w:hanging="392"/>
      </w:pPr>
      <w:rPr>
        <w:rFonts w:hint="default"/>
        <w:lang w:val="en-US" w:eastAsia="en-US" w:bidi="ar-SA"/>
      </w:rPr>
    </w:lvl>
    <w:lvl w:ilvl="8" w:tplc="7858596C">
      <w:numFmt w:val="bullet"/>
      <w:lvlText w:val="•"/>
      <w:lvlJc w:val="left"/>
      <w:pPr>
        <w:ind w:left="8420" w:hanging="392"/>
      </w:pPr>
      <w:rPr>
        <w:rFonts w:hint="default"/>
        <w:lang w:val="en-US" w:eastAsia="en-US" w:bidi="ar-SA"/>
      </w:rPr>
    </w:lvl>
  </w:abstractNum>
  <w:abstractNum w:abstractNumId="5" w15:restartNumberingAfterBreak="0">
    <w:nsid w:val="20BB4C4E"/>
    <w:multiLevelType w:val="hybridMultilevel"/>
    <w:tmpl w:val="AE74103C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>
      <w:start w:val="1"/>
      <w:numFmt w:val="decimal"/>
      <w:lvlText w:val="%4."/>
      <w:lvlJc w:val="left"/>
      <w:pPr>
        <w:ind w:left="2520" w:hanging="360"/>
      </w:pPr>
    </w:lvl>
    <w:lvl w:ilvl="4" w:tplc="40090019">
      <w:start w:val="1"/>
      <w:numFmt w:val="lowerLetter"/>
      <w:lvlText w:val="%5."/>
      <w:lvlJc w:val="left"/>
      <w:pPr>
        <w:ind w:left="3240" w:hanging="360"/>
      </w:pPr>
    </w:lvl>
    <w:lvl w:ilvl="5" w:tplc="4009001B">
      <w:start w:val="1"/>
      <w:numFmt w:val="lowerRoman"/>
      <w:lvlText w:val="%6."/>
      <w:lvlJc w:val="right"/>
      <w:pPr>
        <w:ind w:left="3960" w:hanging="180"/>
      </w:pPr>
    </w:lvl>
    <w:lvl w:ilvl="6" w:tplc="4009000F">
      <w:start w:val="1"/>
      <w:numFmt w:val="decimal"/>
      <w:lvlText w:val="%7."/>
      <w:lvlJc w:val="left"/>
      <w:pPr>
        <w:ind w:left="4680" w:hanging="360"/>
      </w:pPr>
    </w:lvl>
    <w:lvl w:ilvl="7" w:tplc="40090019">
      <w:start w:val="1"/>
      <w:numFmt w:val="lowerLetter"/>
      <w:lvlText w:val="%8."/>
      <w:lvlJc w:val="left"/>
      <w:pPr>
        <w:ind w:left="5400" w:hanging="360"/>
      </w:pPr>
    </w:lvl>
    <w:lvl w:ilvl="8" w:tplc="40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98945FE"/>
    <w:multiLevelType w:val="hybridMultilevel"/>
    <w:tmpl w:val="EEF4AEF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094E4A"/>
    <w:multiLevelType w:val="hybridMultilevel"/>
    <w:tmpl w:val="8984FD8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9C147D"/>
    <w:multiLevelType w:val="hybridMultilevel"/>
    <w:tmpl w:val="82DA7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9501057">
    <w:abstractNumId w:val="1"/>
  </w:num>
  <w:num w:numId="2" w16cid:durableId="154494556">
    <w:abstractNumId w:val="8"/>
  </w:num>
  <w:num w:numId="3" w16cid:durableId="915480873">
    <w:abstractNumId w:val="0"/>
  </w:num>
  <w:num w:numId="4" w16cid:durableId="1295967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5437403">
    <w:abstractNumId w:val="7"/>
  </w:num>
  <w:num w:numId="6" w16cid:durableId="677580023">
    <w:abstractNumId w:val="2"/>
  </w:num>
  <w:num w:numId="7" w16cid:durableId="1374116329">
    <w:abstractNumId w:val="3"/>
  </w:num>
  <w:num w:numId="8" w16cid:durableId="1540825727">
    <w:abstractNumId w:val="4"/>
  </w:num>
  <w:num w:numId="9" w16cid:durableId="1267230845">
    <w:abstractNumId w:val="9"/>
  </w:num>
  <w:num w:numId="10" w16cid:durableId="1091851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73A"/>
    <w:rsid w:val="00012AE6"/>
    <w:rsid w:val="00024B71"/>
    <w:rsid w:val="00086198"/>
    <w:rsid w:val="00093521"/>
    <w:rsid w:val="000C3A05"/>
    <w:rsid w:val="000C737D"/>
    <w:rsid w:val="000C7D0F"/>
    <w:rsid w:val="000D6797"/>
    <w:rsid w:val="000E07B7"/>
    <w:rsid w:val="000F6388"/>
    <w:rsid w:val="00104EEC"/>
    <w:rsid w:val="00113C76"/>
    <w:rsid w:val="001220EA"/>
    <w:rsid w:val="00130FC2"/>
    <w:rsid w:val="00164E2D"/>
    <w:rsid w:val="001A5CC6"/>
    <w:rsid w:val="001B16B7"/>
    <w:rsid w:val="001D1CB2"/>
    <w:rsid w:val="001D5DB1"/>
    <w:rsid w:val="001F51B2"/>
    <w:rsid w:val="00211195"/>
    <w:rsid w:val="002172EB"/>
    <w:rsid w:val="002306B1"/>
    <w:rsid w:val="002B56E3"/>
    <w:rsid w:val="002C3932"/>
    <w:rsid w:val="002E30A4"/>
    <w:rsid w:val="002E6AFD"/>
    <w:rsid w:val="00370003"/>
    <w:rsid w:val="003B5EC5"/>
    <w:rsid w:val="003C1D0F"/>
    <w:rsid w:val="00403D1E"/>
    <w:rsid w:val="004120D2"/>
    <w:rsid w:val="00423194"/>
    <w:rsid w:val="0044451D"/>
    <w:rsid w:val="00446784"/>
    <w:rsid w:val="00471428"/>
    <w:rsid w:val="00483512"/>
    <w:rsid w:val="004844B4"/>
    <w:rsid w:val="004B64A3"/>
    <w:rsid w:val="004C0317"/>
    <w:rsid w:val="0050509A"/>
    <w:rsid w:val="00513387"/>
    <w:rsid w:val="005271ED"/>
    <w:rsid w:val="005356D2"/>
    <w:rsid w:val="00587C99"/>
    <w:rsid w:val="005A2E8E"/>
    <w:rsid w:val="005C52F4"/>
    <w:rsid w:val="005D2A97"/>
    <w:rsid w:val="005F5457"/>
    <w:rsid w:val="00601041"/>
    <w:rsid w:val="00611E12"/>
    <w:rsid w:val="00630D9A"/>
    <w:rsid w:val="00654080"/>
    <w:rsid w:val="00660347"/>
    <w:rsid w:val="00681C06"/>
    <w:rsid w:val="00683FF1"/>
    <w:rsid w:val="006923C9"/>
    <w:rsid w:val="006A7642"/>
    <w:rsid w:val="006B073A"/>
    <w:rsid w:val="006B1459"/>
    <w:rsid w:val="006D5ADE"/>
    <w:rsid w:val="006E6477"/>
    <w:rsid w:val="00706686"/>
    <w:rsid w:val="00750591"/>
    <w:rsid w:val="00751F7C"/>
    <w:rsid w:val="00757A89"/>
    <w:rsid w:val="00784AE5"/>
    <w:rsid w:val="007906B4"/>
    <w:rsid w:val="007A2C97"/>
    <w:rsid w:val="007B74C9"/>
    <w:rsid w:val="007D5CA5"/>
    <w:rsid w:val="007E2380"/>
    <w:rsid w:val="007E48C0"/>
    <w:rsid w:val="007F2A50"/>
    <w:rsid w:val="00817E07"/>
    <w:rsid w:val="00841793"/>
    <w:rsid w:val="00865AC4"/>
    <w:rsid w:val="008B2BBC"/>
    <w:rsid w:val="008C01EC"/>
    <w:rsid w:val="008C5CF4"/>
    <w:rsid w:val="008D26C9"/>
    <w:rsid w:val="008E245E"/>
    <w:rsid w:val="00965EAE"/>
    <w:rsid w:val="009A48F3"/>
    <w:rsid w:val="009B1F5C"/>
    <w:rsid w:val="009F5233"/>
    <w:rsid w:val="00A33553"/>
    <w:rsid w:val="00A50FF1"/>
    <w:rsid w:val="00A80E61"/>
    <w:rsid w:val="00AD7A37"/>
    <w:rsid w:val="00AF579A"/>
    <w:rsid w:val="00AF6F90"/>
    <w:rsid w:val="00B02BAE"/>
    <w:rsid w:val="00B073CC"/>
    <w:rsid w:val="00B174D5"/>
    <w:rsid w:val="00B447DD"/>
    <w:rsid w:val="00B55C05"/>
    <w:rsid w:val="00B75A85"/>
    <w:rsid w:val="00BD65B5"/>
    <w:rsid w:val="00BF3E88"/>
    <w:rsid w:val="00BF4AFD"/>
    <w:rsid w:val="00BF75F2"/>
    <w:rsid w:val="00C10F89"/>
    <w:rsid w:val="00C11EAA"/>
    <w:rsid w:val="00C22135"/>
    <w:rsid w:val="00C2487D"/>
    <w:rsid w:val="00C35441"/>
    <w:rsid w:val="00C51E1D"/>
    <w:rsid w:val="00C63D51"/>
    <w:rsid w:val="00C76B65"/>
    <w:rsid w:val="00CB747E"/>
    <w:rsid w:val="00CC5DE5"/>
    <w:rsid w:val="00CD56F5"/>
    <w:rsid w:val="00D05949"/>
    <w:rsid w:val="00D55FF4"/>
    <w:rsid w:val="00D60692"/>
    <w:rsid w:val="00D73D80"/>
    <w:rsid w:val="00DB5333"/>
    <w:rsid w:val="00DC15C3"/>
    <w:rsid w:val="00DD38CD"/>
    <w:rsid w:val="00DE6EAC"/>
    <w:rsid w:val="00E0792D"/>
    <w:rsid w:val="00E07A63"/>
    <w:rsid w:val="00E507AF"/>
    <w:rsid w:val="00E6017C"/>
    <w:rsid w:val="00EA27D4"/>
    <w:rsid w:val="00EC19BC"/>
    <w:rsid w:val="00EC7045"/>
    <w:rsid w:val="00ED6D54"/>
    <w:rsid w:val="00EE2C23"/>
    <w:rsid w:val="00EE64E4"/>
    <w:rsid w:val="00EF361E"/>
    <w:rsid w:val="00F147D9"/>
    <w:rsid w:val="00F26F71"/>
    <w:rsid w:val="00F57377"/>
    <w:rsid w:val="00F77D81"/>
    <w:rsid w:val="00F92C95"/>
    <w:rsid w:val="00FA6FE5"/>
    <w:rsid w:val="00FF1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CF8EC3"/>
  <w15:chartTrackingRefBased/>
  <w15:docId w15:val="{356F3367-1F7B-41CD-89E2-EC1D6DA96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73A"/>
    <w:pPr>
      <w:spacing w:after="0" w:line="240" w:lineRule="auto"/>
    </w:pPr>
    <w:rPr>
      <w:rFonts w:ascii="Aptos" w:hAnsi="Aptos" w:cs="Calibri"/>
      <w:kern w:val="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0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0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07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0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07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073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73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073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073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07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07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07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073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073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073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73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073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07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073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0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0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0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07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073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073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07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073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073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B073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073A"/>
    <w:rPr>
      <w:rFonts w:ascii="Aptos" w:hAnsi="Aptos" w:cs="Calibri"/>
      <w:kern w:val="0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B073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073A"/>
    <w:rPr>
      <w:rFonts w:ascii="Aptos" w:hAnsi="Aptos" w:cs="Calibri"/>
      <w:kern w:val="0"/>
      <w:sz w:val="22"/>
      <w:szCs w:val="22"/>
    </w:rPr>
  </w:style>
  <w:style w:type="table" w:styleId="TableGrid">
    <w:name w:val="Table Grid"/>
    <w:basedOn w:val="TableNormal"/>
    <w:uiPriority w:val="39"/>
    <w:rsid w:val="006B0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6069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73D80"/>
    <w:pPr>
      <w:spacing w:after="0" w:line="240" w:lineRule="auto"/>
    </w:pPr>
    <w:rPr>
      <w:rFonts w:ascii="Aptos" w:hAnsi="Aptos" w:cs="Calibri"/>
      <w:kern w:val="0"/>
      <w:sz w:val="22"/>
      <w:szCs w:val="22"/>
    </w:rPr>
  </w:style>
  <w:style w:type="paragraph" w:styleId="NoSpacing">
    <w:name w:val="No Spacing"/>
    <w:uiPriority w:val="1"/>
    <w:qFormat/>
    <w:rsid w:val="0050509A"/>
    <w:pPr>
      <w:spacing w:after="0" w:line="240" w:lineRule="auto"/>
    </w:pPr>
    <w:rPr>
      <w:rFonts w:ascii="Aptos" w:hAnsi="Aptos" w:cs="Calibri"/>
      <w:kern w:val="0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4451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2AE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1220E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5356D2"/>
    <w:rPr>
      <w:color w:val="96607D" w:themeColor="followedHyperlink"/>
      <w:u w:val="single"/>
    </w:rPr>
  </w:style>
  <w:style w:type="paragraph" w:customStyle="1" w:styleId="Default">
    <w:name w:val="Default"/>
    <w:rsid w:val="0051338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lang w:val="en-GB" w:bidi="mr-IN"/>
    </w:rPr>
  </w:style>
  <w:style w:type="paragraph" w:styleId="BodyText">
    <w:name w:val="Body Text"/>
    <w:basedOn w:val="Normal"/>
    <w:link w:val="BodyTextChar"/>
    <w:uiPriority w:val="1"/>
    <w:qFormat/>
    <w:rsid w:val="00C35441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C35441"/>
    <w:rPr>
      <w:rFonts w:ascii="Times New Roman" w:eastAsia="Times New Roman" w:hAnsi="Times New Roman" w:cs="Times New Roman"/>
      <w:kern w:val="0"/>
      <w:sz w:val="22"/>
      <w:szCs w:val="22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C35441"/>
    <w:pPr>
      <w:widowControl w:val="0"/>
      <w:autoSpaceDE w:val="0"/>
      <w:autoSpaceDN w:val="0"/>
      <w:spacing w:before="6" w:line="264" w:lineRule="exact"/>
      <w:ind w:left="100"/>
      <w:jc w:val="center"/>
    </w:pPr>
    <w:rPr>
      <w:rFonts w:ascii="Times New Roman" w:eastAsia="Times New Roman" w:hAnsi="Times New Roman" w:cs="Times New Roman"/>
      <w:lang w:val="en-US"/>
      <w14:ligatures w14:val="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07A6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07A63"/>
    <w:rPr>
      <w:rFonts w:ascii="Aptos" w:hAnsi="Aptos" w:cs="Calibr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7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0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6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93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9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7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0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4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2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6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37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5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0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4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34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8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8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8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5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5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35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5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0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4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4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1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3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4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80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6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3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34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15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3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4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9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4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7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72b9ad-a73d-48e8-8819-8c3021fc3d47" xsi:nil="true"/>
    <lcf76f155ced4ddcb4097134ff3c332f xmlns="5442610a-b15d-4649-ba56-636757be058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665F117B7A43BC1F754D5F5E56BE" ma:contentTypeVersion="17" ma:contentTypeDescription="Create a new document." ma:contentTypeScope="" ma:versionID="0c6e9339864e2439c96ebcbcbbc63a22">
  <xsd:schema xmlns:xsd="http://www.w3.org/2001/XMLSchema" xmlns:xs="http://www.w3.org/2001/XMLSchema" xmlns:p="http://schemas.microsoft.com/office/2006/metadata/properties" xmlns:ns2="5442610a-b15d-4649-ba56-636757be0581" xmlns:ns3="8f72b9ad-a73d-48e8-8819-8c3021fc3d47" targetNamespace="http://schemas.microsoft.com/office/2006/metadata/properties" ma:root="true" ma:fieldsID="875268c23a3dbbe7fa2eea000bb9f7fc" ns2:_="" ns3:_="">
    <xsd:import namespace="5442610a-b15d-4649-ba56-636757be0581"/>
    <xsd:import namespace="8f72b9ad-a73d-48e8-8819-8c3021fc3d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42610a-b15d-4649-ba56-636757be05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317d843-cf81-498a-a105-325210d6e9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2b9ad-a73d-48e8-8819-8c3021fc3d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6c0e4e-a5b1-4d39-9e22-fa615281b324}" ma:internalName="TaxCatchAll" ma:showField="CatchAllData" ma:web="8f72b9ad-a73d-48e8-8819-8c3021fc3d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65B166-DB8F-4B4D-9FAD-31FA245206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0AFC44-D058-47CF-8C01-512A58EAE5A8}">
  <ds:schemaRefs>
    <ds:schemaRef ds:uri="http://schemas.microsoft.com/office/2006/metadata/properties"/>
    <ds:schemaRef ds:uri="http://schemas.microsoft.com/office/infopath/2007/PartnerControls"/>
    <ds:schemaRef ds:uri="8f72b9ad-a73d-48e8-8819-8c3021fc3d47"/>
    <ds:schemaRef ds:uri="5442610a-b15d-4649-ba56-636757be0581"/>
  </ds:schemaRefs>
</ds:datastoreItem>
</file>

<file path=customXml/itemProps3.xml><?xml version="1.0" encoding="utf-8"?>
<ds:datastoreItem xmlns:ds="http://schemas.openxmlformats.org/officeDocument/2006/customXml" ds:itemID="{338D20EE-35EF-4A22-B409-343C83A20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42610a-b15d-4649-ba56-636757be0581"/>
    <ds:schemaRef ds:uri="8f72b9ad-a73d-48e8-8819-8c3021fc3d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Kashinath Katakdhond</dc:creator>
  <cp:keywords/>
  <dc:description/>
  <cp:lastModifiedBy>Shweta Bhatt</cp:lastModifiedBy>
  <cp:revision>7</cp:revision>
  <dcterms:created xsi:type="dcterms:W3CDTF">2024-04-10T04:46:00Z</dcterms:created>
  <dcterms:modified xsi:type="dcterms:W3CDTF">2024-04-10T07:40:00Z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0x0101004F5D2A12CE950B4C908A775F38767BCC</vt:lpwstr>
  </property>
  <property fmtid="{D5CDD505-2E9C-101B-9397-08002B2CF9AE}" pid="3" name="MediaServiceImageTags">
    <vt:lpwstr/>
  </property>
</Properties>
</file>